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0CCF" w14:textId="4C9D0A80" w:rsidR="000A4C8C" w:rsidRPr="0069693A" w:rsidRDefault="000A4C8C" w:rsidP="0041268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</w:pPr>
      <w:r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 xml:space="preserve">PARTE I </w:t>
      </w:r>
      <w:r w:rsid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>–</w:t>
      </w:r>
      <w:r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 xml:space="preserve"> Info</w:t>
      </w:r>
      <w:r w:rsid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>rmazioni per la promozione del corso a</w:t>
      </w:r>
      <w:r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>gli utenti finali</w:t>
      </w:r>
    </w:p>
    <w:p w14:paraId="14FA23D0" w14:textId="77777777" w:rsidR="00D1030C" w:rsidRPr="00B53085" w:rsidRDefault="00D1030C" w:rsidP="0041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A5C6BF" w14:textId="7F20E748" w:rsidR="0069693A" w:rsidRP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caps/>
          <w:color w:val="44546A" w:themeColor="text2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>1</w:t>
      </w:r>
      <w:r w:rsidRPr="0069693A"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>IL CORSO</w:t>
      </w:r>
    </w:p>
    <w:p w14:paraId="41150F9F" w14:textId="7039FAA9" w:rsidR="00554642" w:rsidRP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1.1 </w:t>
      </w:r>
      <w:r w:rsidR="000A4C8C" w:rsidRPr="0069693A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Premessa</w:t>
      </w:r>
    </w:p>
    <w:p w14:paraId="2A50DD66" w14:textId="16ACFD0C" w:rsidR="0069693A" w:rsidRDefault="000A4C8C" w:rsidP="0069693A">
      <w:pPr>
        <w:spacing w:before="120" w:after="12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53085">
        <w:rPr>
          <w:rFonts w:asciiTheme="majorHAnsi" w:hAnsiTheme="majorHAnsi" w:cs="Arial"/>
          <w:bCs/>
          <w:sz w:val="24"/>
          <w:szCs w:val="24"/>
        </w:rPr>
        <w:t xml:space="preserve">Il corso multimediale </w:t>
      </w:r>
      <w:r w:rsidR="00141EF3">
        <w:rPr>
          <w:rFonts w:asciiTheme="majorHAnsi" w:hAnsiTheme="majorHAnsi" w:cs="Arial"/>
          <w:bCs/>
          <w:i/>
          <w:sz w:val="24"/>
          <w:szCs w:val="24"/>
        </w:rPr>
        <w:t>Sicurezza museale</w:t>
      </w:r>
      <w:r w:rsidR="00AD4371">
        <w:rPr>
          <w:rFonts w:asciiTheme="majorHAnsi" w:hAnsiTheme="majorHAnsi" w:cs="Arial"/>
          <w:bCs/>
          <w:i/>
          <w:sz w:val="24"/>
          <w:szCs w:val="24"/>
        </w:rPr>
        <w:t xml:space="preserve"> </w:t>
      </w:r>
      <w:r w:rsidR="00141EF3">
        <w:rPr>
          <w:rFonts w:asciiTheme="majorHAnsi" w:hAnsiTheme="majorHAnsi" w:cs="Arial"/>
          <w:bCs/>
          <w:i/>
          <w:sz w:val="24"/>
          <w:szCs w:val="24"/>
        </w:rPr>
        <w:t>corso base</w:t>
      </w:r>
      <w:r w:rsidRPr="00B53085">
        <w:rPr>
          <w:rFonts w:asciiTheme="majorHAnsi" w:hAnsiTheme="majorHAnsi" w:cs="Arial"/>
          <w:bCs/>
          <w:sz w:val="24"/>
          <w:szCs w:val="24"/>
        </w:rPr>
        <w:t xml:space="preserve">, ideato per la formazione del Sistema Museale Nazionale nell’ambito del programma </w:t>
      </w:r>
      <w:r w:rsidRPr="00B53085">
        <w:rPr>
          <w:rFonts w:asciiTheme="majorHAnsi" w:hAnsiTheme="majorHAnsi" w:cs="Arial"/>
          <w:bCs/>
          <w:smallCaps/>
          <w:sz w:val="24"/>
          <w:szCs w:val="24"/>
        </w:rPr>
        <w:t>Musei in corso</w:t>
      </w:r>
      <w:r w:rsidR="00194548" w:rsidRPr="00B53085">
        <w:rPr>
          <w:rFonts w:asciiTheme="majorHAnsi" w:hAnsiTheme="majorHAnsi" w:cs="Arial"/>
          <w:bCs/>
          <w:smallCaps/>
          <w:sz w:val="24"/>
          <w:szCs w:val="24"/>
        </w:rPr>
        <w:t xml:space="preserve">, </w:t>
      </w:r>
      <w:r w:rsidRPr="00B53085">
        <w:rPr>
          <w:rFonts w:asciiTheme="majorHAnsi" w:hAnsiTheme="majorHAnsi" w:cstheme="majorHAnsi"/>
          <w:bCs/>
          <w:sz w:val="24"/>
          <w:szCs w:val="24"/>
        </w:rPr>
        <w:t xml:space="preserve">è progettato al fine di rispondere agli specifici fabbisogni formativi di profili professionali che operano nei nostri musei e per fornire le conoscenze di metodo e di pratica indispensabili ad alcune delle attività museali, in accordo con i principi espressi nei LUQV. </w:t>
      </w:r>
    </w:p>
    <w:p w14:paraId="0B56F045" w14:textId="475BDD98" w:rsidR="00194548" w:rsidRPr="00B53085" w:rsidRDefault="000A4C8C" w:rsidP="0069693A">
      <w:pPr>
        <w:spacing w:before="120" w:after="12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B53085">
        <w:rPr>
          <w:rFonts w:asciiTheme="majorHAnsi" w:hAnsiTheme="majorHAnsi" w:cstheme="majorHAnsi"/>
          <w:bCs/>
          <w:sz w:val="24"/>
          <w:szCs w:val="24"/>
        </w:rPr>
        <w:t xml:space="preserve">Un corso multimediale </w:t>
      </w:r>
      <w:r w:rsidRPr="00B53085">
        <w:rPr>
          <w:rFonts w:asciiTheme="majorHAnsi" w:hAnsiTheme="majorHAnsi" w:cs="Arial"/>
          <w:bCs/>
          <w:sz w:val="24"/>
          <w:szCs w:val="24"/>
        </w:rPr>
        <w:t xml:space="preserve">è una </w:t>
      </w:r>
      <w:r w:rsidRPr="00B53085">
        <w:rPr>
          <w:rFonts w:asciiTheme="majorHAnsi" w:hAnsiTheme="majorHAnsi" w:cs="Arial"/>
          <w:b/>
          <w:bCs/>
          <w:sz w:val="24"/>
          <w:szCs w:val="24"/>
        </w:rPr>
        <w:t>risorsa formativa digitale</w:t>
      </w:r>
      <w:r w:rsidRPr="00B53085">
        <w:rPr>
          <w:rFonts w:asciiTheme="majorHAnsi" w:hAnsiTheme="majorHAnsi" w:cs="Arial"/>
          <w:bCs/>
          <w:sz w:val="24"/>
          <w:szCs w:val="24"/>
        </w:rPr>
        <w:t xml:space="preserve"> erogata tramite piattaforma: integra elementi di testo, audio, video, grafici, hyperlink ecc. che, combinati tra loro, hanno l’obiettivo di massimizzare l’efficacia formativa in favore del discente. </w:t>
      </w:r>
      <w:r w:rsidR="00D354FD" w:rsidRPr="00B53085">
        <w:rPr>
          <w:rFonts w:asciiTheme="majorHAnsi" w:hAnsiTheme="majorHAnsi" w:cs="Arial"/>
          <w:bCs/>
          <w:sz w:val="24"/>
          <w:szCs w:val="24"/>
        </w:rPr>
        <w:t xml:space="preserve">Si rimanda all’allegato </w:t>
      </w:r>
      <w:r w:rsidR="001C04AE" w:rsidRPr="00B53085">
        <w:rPr>
          <w:rFonts w:asciiTheme="majorHAnsi" w:hAnsiTheme="majorHAnsi" w:cs="Arial"/>
          <w:bCs/>
          <w:sz w:val="24"/>
          <w:szCs w:val="24"/>
        </w:rPr>
        <w:t>“Corsi multimediali”</w:t>
      </w:r>
      <w:r w:rsidR="00886997" w:rsidRPr="00B53085">
        <w:rPr>
          <w:rFonts w:asciiTheme="majorHAnsi" w:hAnsiTheme="majorHAnsi" w:cs="Arial"/>
          <w:bCs/>
          <w:sz w:val="24"/>
          <w:szCs w:val="24"/>
        </w:rPr>
        <w:t xml:space="preserve"> </w:t>
      </w:r>
      <w:r w:rsidR="00D354FD" w:rsidRPr="00B53085">
        <w:rPr>
          <w:rFonts w:asciiTheme="majorHAnsi" w:hAnsiTheme="majorHAnsi" w:cs="Arial"/>
          <w:bCs/>
          <w:sz w:val="24"/>
          <w:szCs w:val="24"/>
        </w:rPr>
        <w:t>per maggiori dettagli.</w:t>
      </w:r>
      <w:r w:rsidR="00FF4C24" w:rsidRPr="00B53085">
        <w:rPr>
          <w:rFonts w:asciiTheme="majorHAnsi" w:hAnsiTheme="majorHAnsi" w:cs="Arial"/>
          <w:bCs/>
          <w:sz w:val="24"/>
          <w:szCs w:val="24"/>
        </w:rPr>
        <w:t xml:space="preserve"> </w:t>
      </w:r>
      <w:r w:rsidR="00194548" w:rsidRPr="00B53085">
        <w:rPr>
          <w:rFonts w:asciiTheme="majorHAnsi" w:hAnsiTheme="majorHAnsi" w:cs="Arial"/>
          <w:bCs/>
          <w:sz w:val="24"/>
          <w:szCs w:val="24"/>
        </w:rPr>
        <w:t xml:space="preserve"> </w:t>
      </w:r>
    </w:p>
    <w:p w14:paraId="6CD46456" w14:textId="77777777" w:rsid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14:paraId="1A88F7F9" w14:textId="27E73B23" w:rsidR="0069693A" w:rsidRPr="00B53085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1.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</w:t>
      </w: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Piattaforma di formazione</w:t>
      </w:r>
    </w:p>
    <w:p w14:paraId="139DD7AA" w14:textId="77777777" w:rsidR="0069693A" w:rsidRPr="00B53085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Il corso multimediale è erogato sulla piattaforma della </w:t>
      </w: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Fondazione Scuola dei beni e delle attività culturali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, raggiungibile al seguente link: </w:t>
      </w:r>
      <w:hyperlink r:id="rId5" w:tgtFrame="_blank" w:history="1">
        <w:r w:rsidRPr="00B53085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  <w:lang w:eastAsia="it-IT"/>
          </w:rPr>
          <w:t>https://fad.fondazionescuolapatrimonio.it/</w:t>
        </w:r>
      </w:hyperlink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14:paraId="247268C2" w14:textId="766EE56F" w:rsid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14:paraId="136CA446" w14:textId="45D19565" w:rsidR="0069693A" w:rsidRPr="00B53085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1.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3</w:t>
      </w: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Destinatari</w:t>
      </w:r>
    </w:p>
    <w:p w14:paraId="7E64F20E" w14:textId="373CD588" w:rsidR="00AD4371" w:rsidRPr="00AD4371" w:rsidRDefault="00975607" w:rsidP="00AD4371">
      <w:pPr>
        <w:spacing w:before="120" w:after="12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bookmarkStart w:id="0" w:name="_Hlk75772621"/>
      <w:r w:rsidRPr="00975607">
        <w:rPr>
          <w:rFonts w:asciiTheme="majorHAnsi" w:hAnsiTheme="majorHAnsi" w:cs="Arial"/>
          <w:bCs/>
          <w:sz w:val="24"/>
          <w:szCs w:val="24"/>
        </w:rPr>
        <w:t xml:space="preserve">Il corso è destinato </w:t>
      </w:r>
      <w:bookmarkStart w:id="1" w:name="_Hlk72401969"/>
      <w:r w:rsidR="00141EF3">
        <w:rPr>
          <w:rFonts w:asciiTheme="majorHAnsi" w:hAnsiTheme="majorHAnsi" w:cs="Arial"/>
          <w:bCs/>
          <w:sz w:val="24"/>
          <w:szCs w:val="24"/>
        </w:rPr>
        <w:t xml:space="preserve">a </w:t>
      </w:r>
      <w:r w:rsidR="00AD4371">
        <w:rPr>
          <w:rFonts w:asciiTheme="majorHAnsi" w:hAnsiTheme="majorHAnsi" w:cs="Arial"/>
          <w:bCs/>
          <w:sz w:val="24"/>
          <w:szCs w:val="24"/>
        </w:rPr>
        <w:t xml:space="preserve">tutti </w:t>
      </w:r>
      <w:bookmarkEnd w:id="1"/>
      <w:r w:rsidR="00AD4371" w:rsidRPr="00AD4371">
        <w:rPr>
          <w:rFonts w:asciiTheme="majorHAnsi" w:hAnsiTheme="majorHAnsi" w:cs="Arial"/>
          <w:bCs/>
          <w:sz w:val="24"/>
          <w:szCs w:val="24"/>
        </w:rPr>
        <w:t xml:space="preserve">i professionisti e operatori museali, con esclusione di coloro che operano nell’ufficio cura e gestione delle collezioni (a loro è riservato il corso multimediale “Sicurezza museale e delle collezioni”) e dei responsabili della sicurezza o di coloro che si occupano della sicurezza anticrimine (ai quali è riservato il corso multimediale “Sicurezza museale e anticrimine”). </w:t>
      </w:r>
    </w:p>
    <w:bookmarkEnd w:id="0"/>
    <w:p w14:paraId="4BD7A993" w14:textId="01143475" w:rsidR="00975607" w:rsidRDefault="00975607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14:paraId="04B3B511" w14:textId="0477E3B2" w:rsidR="00EA4563" w:rsidRPr="00B53085" w:rsidRDefault="00D1030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1.</w:t>
      </w:r>
      <w:r w:rsidR="0069693A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4 </w:t>
      </w:r>
      <w:r w:rsidR="00EA4563"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Fruizione</w:t>
      </w:r>
      <w:r w:rsidR="009E5FD7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on demand</w:t>
      </w:r>
    </w:p>
    <w:p w14:paraId="1E1F7D2F" w14:textId="796B27E4" w:rsidR="00B53085" w:rsidRPr="00B53085" w:rsidRDefault="00194548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Il corso sarà dispon</w:t>
      </w:r>
      <w:r w:rsidR="00554642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i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bile per la fruizione</w:t>
      </w:r>
      <w:r w:rsidR="00554642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9E5FD7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on demand </w:t>
      </w:r>
      <w:r w:rsidR="00696456">
        <w:rPr>
          <w:rFonts w:asciiTheme="majorHAnsi" w:eastAsia="Times New Roman" w:hAnsiTheme="majorHAnsi" w:cs="Times New Roman"/>
          <w:sz w:val="24"/>
          <w:szCs w:val="24"/>
          <w:lang w:eastAsia="it-IT"/>
        </w:rPr>
        <w:t>fino</w:t>
      </w:r>
      <w:r w:rsidR="00554642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al </w:t>
      </w:r>
      <w:r w:rsidR="00975607">
        <w:rPr>
          <w:rFonts w:asciiTheme="majorHAnsi" w:eastAsia="Times New Roman" w:hAnsiTheme="majorHAnsi" w:cs="Times New Roman"/>
          <w:sz w:val="24"/>
          <w:szCs w:val="24"/>
          <w:lang w:eastAsia="it-IT"/>
        </w:rPr>
        <w:t>15 novembre</w:t>
      </w:r>
      <w:r w:rsidR="00554642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2021. 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</w:p>
    <w:p w14:paraId="39123809" w14:textId="18E8313C" w:rsidR="00FF4C24" w:rsidRDefault="00FF4C24" w:rsidP="0069693A">
      <w:pPr>
        <w:spacing w:before="120" w:after="120" w:line="240" w:lineRule="auto"/>
        <w:jc w:val="both"/>
        <w:rPr>
          <w:rFonts w:asciiTheme="majorHAnsi" w:hAnsiTheme="majorHAnsi" w:cs="Arial"/>
          <w:color w:val="232323"/>
          <w:sz w:val="24"/>
          <w:szCs w:val="24"/>
          <w:shd w:val="clear" w:color="auto" w:fill="FFFFFF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La fr</w:t>
      </w:r>
      <w:r w:rsidR="00554642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uizione 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è gratuita in quanto</w:t>
      </w:r>
      <w:r w:rsidR="00EA099B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B53085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il corso</w:t>
      </w:r>
      <w:r w:rsidR="00EA099B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è realizzato nell’ambito </w:t>
      </w:r>
      <w:r w:rsidR="00E30125">
        <w:rPr>
          <w:rFonts w:asciiTheme="majorHAnsi" w:eastAsia="Times New Roman" w:hAnsiTheme="majorHAnsi" w:cs="Times New Roman"/>
          <w:sz w:val="24"/>
          <w:szCs w:val="24"/>
          <w:lang w:eastAsia="it-IT"/>
        </w:rPr>
        <w:t>del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9403D4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programma </w:t>
      </w:r>
      <w:r w:rsidR="00EA099B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di informazione e formazione sul Sistema Museale Nazionale </w:t>
      </w:r>
      <w:r w:rsidR="00E30125" w:rsidRPr="00B53085">
        <w:rPr>
          <w:rFonts w:asciiTheme="majorHAnsi" w:hAnsiTheme="majorHAnsi" w:cs="Arial"/>
          <w:bCs/>
          <w:smallCaps/>
          <w:sz w:val="24"/>
          <w:szCs w:val="24"/>
        </w:rPr>
        <w:t>Musei in corso</w:t>
      </w:r>
      <w:r w:rsidR="00E30125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C35256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a cura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C35256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della </w:t>
      </w:r>
      <w:r w:rsidR="00C35256" w:rsidRPr="00B53085">
        <w:rPr>
          <w:rFonts w:asciiTheme="majorHAnsi" w:hAnsiTheme="majorHAnsi" w:cs="Arial"/>
          <w:bCs/>
          <w:sz w:val="24"/>
          <w:szCs w:val="24"/>
        </w:rPr>
        <w:t xml:space="preserve">Fondazione Scuola dei beni e delle attività culturali in collaborazione con la </w:t>
      </w:r>
      <w:r w:rsidR="00C35256" w:rsidRPr="00B53085">
        <w:rPr>
          <w:rFonts w:asciiTheme="majorHAnsi" w:hAnsiTheme="majorHAnsi" w:cs="Arial"/>
          <w:color w:val="232323"/>
          <w:sz w:val="24"/>
          <w:szCs w:val="24"/>
          <w:shd w:val="clear" w:color="auto" w:fill="FFFFFF"/>
        </w:rPr>
        <w:t>Direzione Generale Musei e la Direzione Generale Educazione ricerca e istituti culturali del Ministero della Cultura.</w:t>
      </w:r>
    </w:p>
    <w:p w14:paraId="3DCBE565" w14:textId="77777777" w:rsid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</w:p>
    <w:p w14:paraId="3404D1BD" w14:textId="47A91D0A" w:rsidR="0069693A" w:rsidRPr="00B53085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1.5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Attestato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di partecipazione</w:t>
      </w:r>
    </w:p>
    <w:p w14:paraId="37EF20FE" w14:textId="40A00CF8" w:rsidR="0069693A" w:rsidRPr="00B53085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 xml:space="preserve">L’attestato di </w:t>
      </w:r>
      <w:r w:rsidR="00720207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partecipazione</w:t>
      </w:r>
      <w:r w:rsidRPr="00B53085">
        <w:rPr>
          <w:rFonts w:asciiTheme="majorHAnsi" w:eastAsia="Times New Roman" w:hAnsiTheme="majorHAnsi" w:cs="Times New Roman"/>
          <w:bCs/>
          <w:sz w:val="24"/>
          <w:szCs w:val="24"/>
          <w:lang w:eastAsia="it-IT"/>
        </w:rPr>
        <w:t>, scaricabile dalla piattaforma, si consegue con il completamento della fruizione del corso e il superamento del test di verifica finale.</w:t>
      </w:r>
    </w:p>
    <w:p w14:paraId="0AFC8172" w14:textId="77777777" w:rsidR="000A4C8C" w:rsidRPr="00B53085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14:paraId="66B1F77E" w14:textId="02F7B960" w:rsidR="00EA4563" w:rsidRP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caps/>
          <w:color w:val="44546A" w:themeColor="text2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 xml:space="preserve">2. </w:t>
      </w:r>
      <w:r w:rsidR="000A4C8C" w:rsidRPr="0069693A"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>Iscrizioni al corso</w:t>
      </w:r>
    </w:p>
    <w:p w14:paraId="7AC52838" w14:textId="77777777" w:rsidR="00D1030C" w:rsidRPr="00B53085" w:rsidRDefault="00D1030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2.1 Informazioni necessarie</w:t>
      </w:r>
    </w:p>
    <w:p w14:paraId="78A4EAE5" w14:textId="77777777" w:rsidR="000A4C8C" w:rsidRPr="00B53085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Per iscriversi al Corso è necessario inviare una richiesta di candidatura a </w:t>
      </w:r>
      <w:r w:rsidRPr="00B53085">
        <w:rPr>
          <w:rFonts w:asciiTheme="majorHAnsi" w:eastAsia="Times New Roman" w:hAnsiTheme="majorHAnsi" w:cs="Times New Roman"/>
          <w:color w:val="FF0000"/>
          <w:sz w:val="24"/>
          <w:szCs w:val="24"/>
          <w:lang w:eastAsia="it-IT"/>
        </w:rPr>
        <w:t xml:space="preserve">[indirizzo email/link a </w:t>
      </w:r>
      <w:proofErr w:type="spellStart"/>
      <w:r w:rsidRPr="00B53085">
        <w:rPr>
          <w:rFonts w:asciiTheme="majorHAnsi" w:eastAsia="Times New Roman" w:hAnsiTheme="majorHAnsi" w:cs="Times New Roman"/>
          <w:color w:val="FF0000"/>
          <w:sz w:val="24"/>
          <w:szCs w:val="24"/>
          <w:lang w:eastAsia="it-IT"/>
        </w:rPr>
        <w:t>form</w:t>
      </w:r>
      <w:proofErr w:type="spellEnd"/>
      <w:r w:rsidRPr="00B53085">
        <w:rPr>
          <w:rFonts w:asciiTheme="majorHAnsi" w:eastAsia="Times New Roman" w:hAnsiTheme="majorHAnsi" w:cs="Times New Roman"/>
          <w:color w:val="FF0000"/>
          <w:sz w:val="24"/>
          <w:szCs w:val="24"/>
          <w:lang w:eastAsia="it-IT"/>
        </w:rPr>
        <w:t xml:space="preserve"> online della Regione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] e indicando le seguenti informazioni:  </w:t>
      </w:r>
    </w:p>
    <w:p w14:paraId="69D44B73" w14:textId="77777777" w:rsidR="000A4C8C" w:rsidRPr="0069693A" w:rsidRDefault="000A4C8C" w:rsidP="0069693A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lastRenderedPageBreak/>
        <w:t>nome</w:t>
      </w:r>
    </w:p>
    <w:p w14:paraId="105F6926" w14:textId="77777777" w:rsidR="000A4C8C" w:rsidRPr="0069693A" w:rsidRDefault="000A4C8C" w:rsidP="0069693A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cognome </w:t>
      </w:r>
    </w:p>
    <w:p w14:paraId="37519FA3" w14:textId="77777777" w:rsidR="000A4C8C" w:rsidRPr="0069693A" w:rsidRDefault="000A4C8C" w:rsidP="0069693A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codice fiscale </w:t>
      </w:r>
    </w:p>
    <w:p w14:paraId="5165F8F8" w14:textId="77777777" w:rsidR="000A4C8C" w:rsidRPr="0069693A" w:rsidRDefault="000A4C8C" w:rsidP="0069693A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indirizzo email (se già iscritti alla FAD della </w:t>
      </w:r>
      <w:r w:rsidRPr="0069693A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Fondazione Scuola dei beni e delle attività culturali </w:t>
      </w: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utilizzare il medesimo indirizzo email e/o segnalare di voler modificare l'indirizzo esistente con quello fornito nel corso dell'iscrizione)</w:t>
      </w:r>
    </w:p>
    <w:p w14:paraId="500D2A3E" w14:textId="77777777" w:rsidR="000A4C8C" w:rsidRPr="0069693A" w:rsidRDefault="000A4C8C" w:rsidP="0069693A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organizzazione museale presso cui si lavora: nome, città, provincia</w:t>
      </w:r>
    </w:p>
    <w:p w14:paraId="241A78CC" w14:textId="77777777" w:rsidR="000A4C8C" w:rsidRPr="0069693A" w:rsidRDefault="000A4C8C" w:rsidP="0069693A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ruolo all'interno dell'organizzazione</w:t>
      </w:r>
    </w:p>
    <w:p w14:paraId="2A638471" w14:textId="77777777" w:rsid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14:paraId="2698EFA5" w14:textId="507818FD" w:rsidR="000A4C8C" w:rsidRPr="00B53085" w:rsidRDefault="00EA4563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2.2 S</w:t>
      </w:r>
      <w:r w:rsidR="000A4C8C"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cadenza</w:t>
      </w:r>
    </w:p>
    <w:p w14:paraId="542E55FF" w14:textId="12EB810E" w:rsidR="000A4C8C" w:rsidRPr="00B53085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La richiesta di iscrizione deve pervenire entro e non oltre</w:t>
      </w:r>
      <w:r w:rsidR="00551D87">
        <w:rPr>
          <w:rFonts w:asciiTheme="majorHAnsi" w:eastAsia="Times New Roman" w:hAnsiTheme="majorHAnsi" w:cs="Times New Roman"/>
          <w:sz w:val="24"/>
          <w:szCs w:val="24"/>
          <w:lang w:eastAsia="it-IT"/>
        </w:rPr>
        <w:t>… (indicare una data a vostra discrezione, compatibile con la trasmissione dell’elenco alla Fondazione – cfr. Parte II- Info riservate alle Regioni “Quando trasmettere l’elenco”).</w:t>
      </w:r>
    </w:p>
    <w:p w14:paraId="10A5F54D" w14:textId="77777777" w:rsidR="00D1030C" w:rsidRPr="00B53085" w:rsidRDefault="00D1030C" w:rsidP="006969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4E22F5" w14:textId="25579C08" w:rsid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>3</w:t>
      </w:r>
      <w:r w:rsidRPr="0069693A"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 xml:space="preserve">. Iscrizioni </w:t>
      </w:r>
      <w:r>
        <w:rPr>
          <w:rFonts w:asciiTheme="majorHAnsi" w:eastAsia="Times New Roman" w:hAnsiTheme="majorHAnsi" w:cs="Times New Roman"/>
          <w:b/>
          <w:bCs/>
          <w:caps/>
          <w:color w:val="44546A" w:themeColor="text2"/>
          <w:sz w:val="24"/>
          <w:szCs w:val="24"/>
          <w:lang w:eastAsia="it-IT"/>
        </w:rPr>
        <w:t>ALLA PIATTAFORMA</w:t>
      </w:r>
    </w:p>
    <w:p w14:paraId="55E83603" w14:textId="77777777" w:rsidR="0069693A" w:rsidRDefault="0069693A" w:rsidP="0069693A">
      <w:pPr>
        <w:spacing w:before="120"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3.1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Account</w:t>
      </w:r>
    </w:p>
    <w:p w14:paraId="35D43D53" w14:textId="6192862B" w:rsidR="000A4C8C" w:rsidRPr="00B53085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Per accedere alla piattaforma di e-learning della Fondazione Scuola dei beni e delle attività culturali, è necessario disporre di un account registrato sulla piattaforma stessa. Qualora il discente disponga di un account registrato e collegato al proprio indirizzo email, potrà utilizzare le credenziali già in dotazione</w:t>
      </w:r>
      <w:r w:rsid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(il codice fiscale come username e la password personale)</w:t>
      </w: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.</w:t>
      </w:r>
    </w:p>
    <w:p w14:paraId="1612DDCD" w14:textId="77777777" w:rsidR="0069693A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Qualora il discente NON disponga di un account registrato, sarà cura della Fondazione Scuola dei beni delle attività culturali crearlo al momento della ricezione degli elenchi trasmessi dalla Regione.</w:t>
      </w:r>
      <w:r w:rsid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</w:p>
    <w:p w14:paraId="04B33137" w14:textId="4D3219C1" w:rsidR="00BB2581" w:rsidRPr="00B53085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Alla scadenza del periodo di iscrizione, la Regione trasmetterà l'elenco degli ammessi alla Fondazione Scuola dei beni e delle attività culturali, la quale provvederà alla creazione degli account e alla contestuale iscrizione dei discenti al Corso. </w:t>
      </w:r>
      <w:r w:rsidR="00BB2581"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Con l’adesione al programma, l’utente dichiara di essere a conoscenza che i suoi dati personali saranno trasmessi alla Fondazione allo scopo di finalizzare l’iscrizione.</w:t>
      </w:r>
    </w:p>
    <w:p w14:paraId="14C8524D" w14:textId="77777777" w:rsidR="0069693A" w:rsidRDefault="0069693A" w:rsidP="0069693A">
      <w:pPr>
        <w:spacing w:before="120"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</w:pPr>
    </w:p>
    <w:p w14:paraId="0D7404D2" w14:textId="6CD3CF65" w:rsidR="0069693A" w:rsidRDefault="00EA4563" w:rsidP="0069693A">
      <w:pPr>
        <w:spacing w:before="120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3.</w:t>
      </w:r>
      <w:r w:rsidR="0069693A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2</w:t>
      </w:r>
      <w:r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 xml:space="preserve"> </w:t>
      </w:r>
      <w:r w:rsidR="000A4C8C" w:rsidRPr="00B53085">
        <w:rPr>
          <w:rFonts w:asciiTheme="majorHAnsi" w:eastAsia="Times New Roman" w:hAnsiTheme="majorHAnsi" w:cs="Times New Roman"/>
          <w:b/>
          <w:bCs/>
          <w:sz w:val="24"/>
          <w:szCs w:val="24"/>
          <w:lang w:eastAsia="it-IT"/>
        </w:rPr>
        <w:t>Comunicazioni dalla FAD della Fondazione Scuola dei beni e delle attività culturali</w:t>
      </w:r>
    </w:p>
    <w:p w14:paraId="15A99F59" w14:textId="5ED78772" w:rsidR="000A4C8C" w:rsidRPr="00B53085" w:rsidRDefault="000A4C8C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Entrambe le attività - di iscrizione in piattaforma e di iscrizione al corso - generano l’invio automatico di comunicazioni da parte della piattaforma di formazione a distanza (mittente: </w:t>
      </w:r>
      <w:hyperlink r:id="rId6" w:tgtFrame="_blank" w:history="1">
        <w:r w:rsidRPr="00B53085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  <w:lang w:eastAsia="it-IT"/>
          </w:rPr>
          <w:t>helpdesk@fondazionescuolapatrimonio.it</w:t>
        </w:r>
      </w:hyperlink>
      <w:r w:rsidRPr="00B53085">
        <w:rPr>
          <w:rFonts w:asciiTheme="majorHAnsi" w:eastAsia="Times New Roman" w:hAnsiTheme="majorHAnsi" w:cs="Times New Roman"/>
          <w:sz w:val="24"/>
          <w:szCs w:val="24"/>
          <w:lang w:eastAsia="it-IT"/>
        </w:rPr>
        <w:t>) e, in particolare:</w:t>
      </w:r>
    </w:p>
    <w:p w14:paraId="2752C817" w14:textId="1B89F8BF" w:rsidR="000A4C8C" w:rsidRPr="0069693A" w:rsidRDefault="000A4C8C" w:rsidP="0069693A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>Comunicazioni relative all’iscrizione in piattaforma</w:t>
      </w: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. Coloro che, sprovvisti di un account attivo, verranno iscritti in piattaforma dalla Fondazione riceveranno via email le istruzioni per il perfezionamento della propria password di accesso (per maggiori informazioni e</w:t>
      </w:r>
      <w:r w:rsidR="006174E6"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dettagli si consulti il paragrafo</w:t>
      </w: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3 dell’allegato</w:t>
      </w:r>
      <w:r w:rsidR="0085675F"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="00627693"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“</w:t>
      </w:r>
      <w:r w:rsidR="0085675F"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Istruzioni piattaforma</w:t>
      </w:r>
      <w:r w:rsidR="00627693"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”</w:t>
      </w:r>
      <w:r w:rsidR="00EA4563"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)</w:t>
      </w:r>
      <w:r w:rsid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;</w:t>
      </w:r>
    </w:p>
    <w:p w14:paraId="2DD2DB05" w14:textId="77777777" w:rsidR="000A4C8C" w:rsidRPr="0069693A" w:rsidRDefault="000A4C8C" w:rsidP="0069693A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  <w:t>Comunicazioni relative all’iscrizione al Corso</w:t>
      </w:r>
      <w:r w:rsidRPr="0069693A">
        <w:rPr>
          <w:rFonts w:asciiTheme="majorHAnsi" w:eastAsia="Times New Roman" w:hAnsiTheme="majorHAnsi" w:cs="Times New Roman"/>
          <w:sz w:val="24"/>
          <w:szCs w:val="24"/>
          <w:lang w:eastAsia="it-IT"/>
        </w:rPr>
        <w:t>. Ad avvenuta iscrizione al Modulo, il discente riceverà via email una comunicazione automatica di avvenuta iscrizione. La comunicazione non comporta la necessità di alcun intervento da parte del discente.</w:t>
      </w:r>
    </w:p>
    <w:p w14:paraId="531FCC72" w14:textId="77777777" w:rsidR="00FF4C24" w:rsidRPr="00B53085" w:rsidRDefault="00FF4C24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14:paraId="224389DE" w14:textId="77777777" w:rsidR="0069693A" w:rsidRDefault="0069693A" w:rsidP="0069693A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it-IT"/>
        </w:rPr>
      </w:pPr>
    </w:p>
    <w:p w14:paraId="05F31D8A" w14:textId="74B799CE" w:rsidR="000A4C8C" w:rsidRPr="0069693A" w:rsidRDefault="00AD4371" w:rsidP="00720207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lastRenderedPageBreak/>
        <w:t>P</w:t>
      </w:r>
      <w:r w:rsidR="000A4C8C"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 xml:space="preserve">ARTE II - Info </w:t>
      </w:r>
      <w:r w:rsidR="0069693A"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>riservate al</w:t>
      </w:r>
      <w:r w:rsidR="00B53085"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>le</w:t>
      </w:r>
      <w:r w:rsidR="000A4C8C"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 xml:space="preserve"> Regioni</w:t>
      </w:r>
      <w:r w:rsidR="00412681" w:rsidRPr="0069693A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u w:val="single"/>
          <w:lang w:eastAsia="it-IT"/>
        </w:rPr>
        <w:t xml:space="preserve"> </w:t>
      </w:r>
    </w:p>
    <w:p w14:paraId="36934D3B" w14:textId="0DBB0D46" w:rsidR="000A4C8C" w:rsidRPr="0069693A" w:rsidRDefault="000A4C8C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 w:rsidRPr="0069693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it-IT"/>
        </w:rPr>
        <w:t>Iscrizioni</w:t>
      </w:r>
    </w:p>
    <w:p w14:paraId="4C06AD58" w14:textId="77777777" w:rsidR="000A4C8C" w:rsidRPr="00B53085" w:rsidRDefault="000A4C8C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La raccolta delle iscrizioni per i musei NON </w:t>
      </w:r>
      <w:proofErr w:type="spellStart"/>
      <w:r w:rsidR="006174E6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MiC</w:t>
      </w:r>
      <w:proofErr w:type="spellEnd"/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 è a cura delle Regioni.</w:t>
      </w:r>
    </w:p>
    <w:p w14:paraId="3734EBCD" w14:textId="77777777" w:rsidR="009C7816" w:rsidRPr="00B53085" w:rsidRDefault="000A4C8C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Le informazioni </w:t>
      </w:r>
      <w:r w:rsidR="00EA4563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necessarie (</w:t>
      </w:r>
      <w:r w:rsidR="00412681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nome, </w:t>
      </w:r>
      <w:r w:rsidR="00FF4C24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cognome, </w:t>
      </w:r>
      <w:r w:rsidR="00412681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codice fiscale, </w:t>
      </w:r>
      <w:r w:rsidR="00FF4C24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indirizzo </w:t>
      </w:r>
      <w:r w:rsidR="00412681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email</w:t>
      </w:r>
      <w:r w:rsidR="00FF4C24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, organizzazione museale presso cui si lavora, ruolo all’interno dell’organizzazione</w:t>
      </w:r>
      <w:r w:rsidR="00EA4563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) </w:t>
      </w:r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vanno restituite </w:t>
      </w:r>
      <w:r w:rsidRPr="00B53085">
        <w:rPr>
          <w:rFonts w:asciiTheme="majorHAnsi" w:eastAsia="Times New Roman" w:hAnsiTheme="majorHAnsi" w:cs="Arial"/>
          <w:color w:val="222222"/>
          <w:sz w:val="24"/>
          <w:szCs w:val="24"/>
          <w:u w:val="single"/>
          <w:lang w:eastAsia="it-IT"/>
        </w:rPr>
        <w:t>su file Excel </w:t>
      </w:r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(modello in allegato).</w:t>
      </w:r>
    </w:p>
    <w:p w14:paraId="0446E15B" w14:textId="77777777" w:rsidR="000A4C8C" w:rsidRPr="00B53085" w:rsidRDefault="009C7816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Si ricorda di prevedere nel </w:t>
      </w:r>
      <w:proofErr w:type="spellStart"/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form</w:t>
      </w:r>
      <w:proofErr w:type="spellEnd"/>
      <w:r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 di iscrizione il consenso dell’utente alla trasmissione dei suoi dati personali alla Fondazione allo scopo di finalizzare la procedura di iscrizione al programma.</w:t>
      </w:r>
    </w:p>
    <w:p w14:paraId="71087D41" w14:textId="77777777" w:rsidR="0069693A" w:rsidRDefault="0069693A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it-IT"/>
        </w:rPr>
      </w:pPr>
    </w:p>
    <w:p w14:paraId="2E401748" w14:textId="671C2066" w:rsidR="000A4C8C" w:rsidRPr="0069693A" w:rsidRDefault="0069693A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it-IT"/>
        </w:rPr>
        <w:t>P</w:t>
      </w:r>
      <w:r w:rsidR="000A4C8C" w:rsidRPr="0069693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it-IT"/>
        </w:rPr>
        <w:t>osti disponibili</w:t>
      </w:r>
    </w:p>
    <w:p w14:paraId="5CE2888C" w14:textId="344386A2" w:rsidR="00141EF3" w:rsidRDefault="006174E6" w:rsidP="00141EF3">
      <w:pPr>
        <w:spacing w:before="120" w:after="12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I posti disponibili sono </w:t>
      </w:r>
      <w:r w:rsidR="000907E0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destinati </w:t>
      </w:r>
      <w:r w:rsidR="00AD4371">
        <w:rPr>
          <w:rFonts w:asciiTheme="majorHAnsi" w:hAnsiTheme="majorHAnsi" w:cs="Arial"/>
          <w:bCs/>
          <w:sz w:val="24"/>
          <w:szCs w:val="24"/>
        </w:rPr>
        <w:t xml:space="preserve">a tutti i </w:t>
      </w:r>
      <w:r w:rsidR="00AD4371" w:rsidRPr="00AD4371">
        <w:rPr>
          <w:rFonts w:asciiTheme="majorHAnsi" w:hAnsiTheme="majorHAnsi" w:cs="Arial"/>
          <w:bCs/>
          <w:sz w:val="24"/>
          <w:szCs w:val="24"/>
        </w:rPr>
        <w:t>professionisti e operatori museali, con esclusione di coloro che operano nell’ufficio cura e gestione delle collezioni (a loro è riservato il corso multimediale “Sicurezza museale e delle collezioni”) e dei responsabili della sicurezza o di coloro che si occupano della sicurezza anticrimine (ai quali è riservato il corso multimediale “Sicurezza museale e anticrimine”).</w:t>
      </w:r>
    </w:p>
    <w:p w14:paraId="1D90C314" w14:textId="77777777" w:rsidR="00AD4371" w:rsidRDefault="00AD4371" w:rsidP="00141EF3">
      <w:pPr>
        <w:spacing w:before="120" w:after="12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38D50DF" w14:textId="5D2BED05" w:rsidR="000A4C8C" w:rsidRPr="0069693A" w:rsidRDefault="0069693A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it-IT"/>
        </w:rPr>
        <w:t>Q</w:t>
      </w:r>
      <w:r w:rsidR="000A4C8C" w:rsidRPr="0069693A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it-IT"/>
        </w:rPr>
        <w:t>uando trasmettere l'elenco</w:t>
      </w:r>
    </w:p>
    <w:p w14:paraId="5F642233" w14:textId="5CDD5BB3" w:rsidR="000A4C8C" w:rsidRPr="00B53085" w:rsidRDefault="00975607" w:rsidP="00720207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Preferibilmente </w:t>
      </w:r>
      <w:r w:rsidR="000A4C8C" w:rsidRPr="00B5308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 xml:space="preserve">entro il </w:t>
      </w:r>
      <w:r w:rsidR="006B2355">
        <w:rPr>
          <w:rFonts w:asciiTheme="majorHAnsi" w:eastAsia="Times New Roman" w:hAnsiTheme="majorHAnsi" w:cs="Arial"/>
          <w:color w:val="222222"/>
          <w:sz w:val="24"/>
          <w:szCs w:val="24"/>
          <w:lang w:eastAsia="it-IT"/>
        </w:rPr>
        <w:t>16 luglio 2021.</w:t>
      </w:r>
      <w:bookmarkStart w:id="2" w:name="_GoBack"/>
      <w:bookmarkEnd w:id="2"/>
    </w:p>
    <w:p w14:paraId="1F80D84B" w14:textId="77777777" w:rsidR="000A4C8C" w:rsidRPr="00B53085" w:rsidRDefault="000A4C8C" w:rsidP="00720207">
      <w:pPr>
        <w:spacing w:before="120" w:after="120"/>
        <w:jc w:val="both"/>
        <w:rPr>
          <w:sz w:val="24"/>
          <w:szCs w:val="24"/>
        </w:rPr>
      </w:pPr>
    </w:p>
    <w:sectPr w:rsidR="000A4C8C" w:rsidRPr="00B53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393"/>
    <w:multiLevelType w:val="hybridMultilevel"/>
    <w:tmpl w:val="4E68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C7B"/>
    <w:multiLevelType w:val="hybridMultilevel"/>
    <w:tmpl w:val="36723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18A6"/>
    <w:multiLevelType w:val="multilevel"/>
    <w:tmpl w:val="66C6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64167028"/>
    <w:multiLevelType w:val="multilevel"/>
    <w:tmpl w:val="1D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701E1"/>
    <w:multiLevelType w:val="hybridMultilevel"/>
    <w:tmpl w:val="6442C5FC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3E30F33"/>
    <w:multiLevelType w:val="hybridMultilevel"/>
    <w:tmpl w:val="9B1ADE2E"/>
    <w:lvl w:ilvl="0" w:tplc="0076F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611"/>
    <w:multiLevelType w:val="multilevel"/>
    <w:tmpl w:val="E2EA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8C"/>
    <w:rsid w:val="00053CBA"/>
    <w:rsid w:val="000907E0"/>
    <w:rsid w:val="000A4C8C"/>
    <w:rsid w:val="000B002B"/>
    <w:rsid w:val="001177DA"/>
    <w:rsid w:val="00133B9C"/>
    <w:rsid w:val="00141EF3"/>
    <w:rsid w:val="00177249"/>
    <w:rsid w:val="00194548"/>
    <w:rsid w:val="001C04AE"/>
    <w:rsid w:val="001E083E"/>
    <w:rsid w:val="002A237A"/>
    <w:rsid w:val="003C4E9E"/>
    <w:rsid w:val="00403F6E"/>
    <w:rsid w:val="00412681"/>
    <w:rsid w:val="004E7D58"/>
    <w:rsid w:val="00551D87"/>
    <w:rsid w:val="00554642"/>
    <w:rsid w:val="006174E6"/>
    <w:rsid w:val="00627693"/>
    <w:rsid w:val="00696456"/>
    <w:rsid w:val="0069693A"/>
    <w:rsid w:val="006B2355"/>
    <w:rsid w:val="006E5DE4"/>
    <w:rsid w:val="00720207"/>
    <w:rsid w:val="00793267"/>
    <w:rsid w:val="00855E8C"/>
    <w:rsid w:val="0085675F"/>
    <w:rsid w:val="00886997"/>
    <w:rsid w:val="00894955"/>
    <w:rsid w:val="00916EBA"/>
    <w:rsid w:val="009403D4"/>
    <w:rsid w:val="00975607"/>
    <w:rsid w:val="009C7816"/>
    <w:rsid w:val="009E5FD7"/>
    <w:rsid w:val="00AD4371"/>
    <w:rsid w:val="00B22B38"/>
    <w:rsid w:val="00B53085"/>
    <w:rsid w:val="00B82639"/>
    <w:rsid w:val="00BB2581"/>
    <w:rsid w:val="00C35256"/>
    <w:rsid w:val="00CE0E77"/>
    <w:rsid w:val="00D1030C"/>
    <w:rsid w:val="00D354FD"/>
    <w:rsid w:val="00E30125"/>
    <w:rsid w:val="00EA099B"/>
    <w:rsid w:val="00EA4563"/>
    <w:rsid w:val="00EE4092"/>
    <w:rsid w:val="00EF39D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6ACB"/>
  <w15:chartTrackingRefBased/>
  <w15:docId w15:val="{F54BB560-4E57-4628-A4C7-5514D51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4C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fondazionescuolapatrimonio.it" TargetMode="External"/><Relationship Id="rId5" Type="http://schemas.openxmlformats.org/officeDocument/2006/relationships/hyperlink" Target="https://fad.fondazionescuolapatrimoni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Zucchini</dc:creator>
  <cp:keywords/>
  <dc:description/>
  <cp:lastModifiedBy>Ilaria Zucchini</cp:lastModifiedBy>
  <cp:revision>5</cp:revision>
  <cp:lastPrinted>2021-05-20T09:20:00Z</cp:lastPrinted>
  <dcterms:created xsi:type="dcterms:W3CDTF">2021-06-28T09:30:00Z</dcterms:created>
  <dcterms:modified xsi:type="dcterms:W3CDTF">2021-06-28T13:29:00Z</dcterms:modified>
</cp:coreProperties>
</file>